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10D3" w14:textId="69DF0B1F" w:rsidR="00E3286A" w:rsidRPr="004A0F0E" w:rsidRDefault="00E3286A" w:rsidP="00E3286A">
      <w:pPr>
        <w:jc w:val="center"/>
        <w:rPr>
          <w:b/>
          <w:bCs/>
        </w:rPr>
      </w:pPr>
      <w:r w:rsidRPr="004A0F0E">
        <w:rPr>
          <w:b/>
          <w:bCs/>
        </w:rPr>
        <w:t>SBHC School Engagement and Integration</w:t>
      </w:r>
    </w:p>
    <w:p w14:paraId="37EAFBD2" w14:textId="46836B62" w:rsidR="00E3286A" w:rsidRDefault="00E3286A" w:rsidP="00E3286A">
      <w:r w:rsidRPr="00E3286A">
        <w:t>SBHC success is dependent on leadership that is visionary and collaborative, and that forges partnerships and shared goals, including financing strategies, which will develop and sustain the SBHC.</w:t>
      </w:r>
    </w:p>
    <w:p w14:paraId="3FF387A2" w14:textId="4B5B6B05" w:rsidR="00E3286A" w:rsidRPr="003B0507" w:rsidRDefault="00E3286A" w:rsidP="00E3286A">
      <w:pPr>
        <w:rPr>
          <w:rFonts w:cs="Times New Roman"/>
        </w:rPr>
      </w:pPr>
      <w:r w:rsidRPr="003B0507">
        <w:rPr>
          <w:rFonts w:cs="Times New Roman"/>
        </w:rPr>
        <w:t xml:space="preserve">Shared ownership of the SBHC is essential to </w:t>
      </w:r>
      <w:r>
        <w:rPr>
          <w:rFonts w:cs="Times New Roman"/>
        </w:rPr>
        <w:t>its success and sustainability.</w:t>
      </w:r>
      <w:r w:rsidRPr="003B0507">
        <w:rPr>
          <w:rFonts w:cs="Times New Roman"/>
        </w:rPr>
        <w:t xml:space="preserve"> </w:t>
      </w:r>
      <w:r w:rsidRPr="003B0507">
        <w:rPr>
          <w:rFonts w:cs="Times New Roman"/>
        </w:rPr>
        <w:t>To</w:t>
      </w:r>
      <w:r w:rsidRPr="003B0507">
        <w:rPr>
          <w:rFonts w:cs="Times New Roman"/>
        </w:rPr>
        <w:t xml:space="preserve"> achieve this shared ownership, </w:t>
      </w:r>
      <w:r>
        <w:rPr>
          <w:rFonts w:cs="Times New Roman"/>
        </w:rPr>
        <w:t>school administration</w:t>
      </w:r>
      <w:r w:rsidRPr="003B0507">
        <w:rPr>
          <w:rFonts w:cs="Times New Roman"/>
        </w:rPr>
        <w:t xml:space="preserve"> must be engaged in every aspect of the SBHC, including the decisio</w:t>
      </w:r>
      <w:r>
        <w:rPr>
          <w:rFonts w:cs="Times New Roman"/>
        </w:rPr>
        <w:t>n to open and establish a SBHC.</w:t>
      </w:r>
      <w:r w:rsidRPr="003B0507">
        <w:rPr>
          <w:rFonts w:cs="Times New Roman"/>
        </w:rPr>
        <w:t xml:space="preserve"> Once that decision is made, </w:t>
      </w:r>
      <w:r>
        <w:rPr>
          <w:rFonts w:cs="Times New Roman"/>
        </w:rPr>
        <w:t xml:space="preserve">school administration </w:t>
      </w:r>
      <w:r w:rsidRPr="003B0507">
        <w:rPr>
          <w:rFonts w:cs="Times New Roman"/>
        </w:rPr>
        <w:t xml:space="preserve">will be involved </w:t>
      </w:r>
      <w:proofErr w:type="gramStart"/>
      <w:r w:rsidRPr="003B0507">
        <w:rPr>
          <w:rFonts w:cs="Times New Roman"/>
        </w:rPr>
        <w:t>in:</w:t>
      </w:r>
      <w:proofErr w:type="gramEnd"/>
      <w:r w:rsidRPr="003B0507">
        <w:rPr>
          <w:rFonts w:cs="Times New Roman"/>
        </w:rPr>
        <w:t xml:space="preserve"> assessment and planning, marketing and outreach, sponsorship and program development, data collection and reporting,</w:t>
      </w:r>
      <w:r>
        <w:rPr>
          <w:rFonts w:cs="Times New Roman"/>
        </w:rPr>
        <w:t xml:space="preserve"> and quality improvement.</w:t>
      </w:r>
      <w:r w:rsidRPr="003B0507">
        <w:rPr>
          <w:rFonts w:cs="Times New Roman"/>
        </w:rPr>
        <w:t xml:space="preserve"> The more school involvement there is in the SBHC, the greater the likelihood that it will become integral to the lives of the students and, therefore, be able to make an impact on their health and, ultimately, their academic success.</w:t>
      </w:r>
    </w:p>
    <w:p w14:paraId="69F7F540" w14:textId="5647954B" w:rsidR="00965C3E" w:rsidRPr="00965C3E" w:rsidRDefault="004B0FB8" w:rsidP="00965C3E">
      <w:pPr>
        <w:rPr>
          <w:b/>
          <w:bCs/>
        </w:rPr>
      </w:pPr>
      <w:r>
        <w:rPr>
          <w:b/>
          <w:bCs/>
        </w:rPr>
        <w:t>Medical Sponsor Coordination</w:t>
      </w:r>
    </w:p>
    <w:p w14:paraId="253D48D5" w14:textId="71E44402" w:rsidR="00E3286A" w:rsidRDefault="00965C3E" w:rsidP="00965C3E">
      <w:r>
        <w:t>SBHC school coordination t</w:t>
      </w:r>
      <w:r w:rsidR="004A0F0E">
        <w:t xml:space="preserve">ime is not reimbursable. This work is integral to developing strong relationships with the school and ultimately can help determine the success of the SBHC. The SBHC medical sponsor must decide where the responsibility of coordination is placed. </w:t>
      </w:r>
      <w:r>
        <w:t>Here are examples of who coordinates SBHC work:</w:t>
      </w:r>
    </w:p>
    <w:p w14:paraId="650B39F0" w14:textId="5469D821" w:rsidR="004A0F0E" w:rsidRDefault="00965C3E" w:rsidP="00C73CF7">
      <w:pPr>
        <w:pStyle w:val="ListParagraph"/>
        <w:numPr>
          <w:ilvl w:val="0"/>
          <w:numId w:val="3"/>
        </w:numPr>
      </w:pPr>
      <w:r>
        <w:t xml:space="preserve">A standalone SBHC </w:t>
      </w:r>
      <w:r w:rsidR="001D48BE">
        <w:t>co</w:t>
      </w:r>
      <w:r>
        <w:t>ordinator position</w:t>
      </w:r>
    </w:p>
    <w:p w14:paraId="758C2DB2" w14:textId="7E54E684" w:rsidR="00965C3E" w:rsidRDefault="00965C3E" w:rsidP="00C73CF7">
      <w:pPr>
        <w:pStyle w:val="ListParagraph"/>
        <w:numPr>
          <w:ilvl w:val="0"/>
          <w:numId w:val="3"/>
        </w:numPr>
      </w:pPr>
      <w:r>
        <w:t>SBHC’s medical assistant</w:t>
      </w:r>
    </w:p>
    <w:p w14:paraId="6BEC8D58" w14:textId="7B486E9B" w:rsidR="00965C3E" w:rsidRDefault="00965C3E" w:rsidP="00C73CF7">
      <w:pPr>
        <w:pStyle w:val="ListParagraph"/>
        <w:numPr>
          <w:ilvl w:val="0"/>
          <w:numId w:val="3"/>
        </w:numPr>
      </w:pPr>
      <w:r>
        <w:t>Another staff person at the medical sponsor’s organization</w:t>
      </w:r>
    </w:p>
    <w:p w14:paraId="627B72F6" w14:textId="77DF2B8C" w:rsidR="00E3286A" w:rsidRDefault="004B0FB8" w:rsidP="00E3286A">
      <w:pPr>
        <w:rPr>
          <w:b/>
          <w:bCs/>
        </w:rPr>
      </w:pPr>
      <w:r>
        <w:rPr>
          <w:b/>
          <w:bCs/>
        </w:rPr>
        <w:t xml:space="preserve">Class </w:t>
      </w:r>
      <w:r w:rsidR="00E03089">
        <w:rPr>
          <w:b/>
          <w:bCs/>
        </w:rPr>
        <w:t>Seat Time</w:t>
      </w:r>
    </w:p>
    <w:p w14:paraId="62E9130E" w14:textId="4A6BE705" w:rsidR="00E03089" w:rsidRDefault="00E03089" w:rsidP="00E3286A">
      <w:r>
        <w:t>This is one of the top concerns of school administration and staff.</w:t>
      </w:r>
      <w:r w:rsidR="00806DC2">
        <w:t xml:space="preserve"> SBHCs do not reduce seat time, on the contrary, they help keep students in class and ready to learn. </w:t>
      </w:r>
    </w:p>
    <w:p w14:paraId="11CF5A2E" w14:textId="2AFB7B07" w:rsidR="00806DC2" w:rsidRDefault="00806DC2" w:rsidP="00806DC2">
      <w:pPr>
        <w:pStyle w:val="ListParagraph"/>
        <w:numPr>
          <w:ilvl w:val="0"/>
          <w:numId w:val="4"/>
        </w:numPr>
      </w:pPr>
      <w:r>
        <w:t>Students have direct access</w:t>
      </w:r>
      <w:r>
        <w:t xml:space="preserve"> </w:t>
      </w:r>
      <w:r>
        <w:t>to health care providers while they are at</w:t>
      </w:r>
      <w:r>
        <w:t xml:space="preserve"> </w:t>
      </w:r>
      <w:r>
        <w:t>school</w:t>
      </w:r>
      <w:r>
        <w:t xml:space="preserve"> and </w:t>
      </w:r>
      <w:r>
        <w:t xml:space="preserve">do not have </w:t>
      </w:r>
      <w:r>
        <w:t>to miss</w:t>
      </w:r>
      <w:r>
        <w:t xml:space="preserve"> as much </w:t>
      </w:r>
      <w:r>
        <w:t>class time</w:t>
      </w:r>
      <w:r>
        <w:t xml:space="preserve"> to receive </w:t>
      </w:r>
      <w:r>
        <w:t>care.</w:t>
      </w:r>
    </w:p>
    <w:p w14:paraId="5AC3471D" w14:textId="264CC045" w:rsidR="00806DC2" w:rsidRDefault="00806DC2" w:rsidP="00806DC2">
      <w:pPr>
        <w:pStyle w:val="ListParagraph"/>
        <w:numPr>
          <w:ilvl w:val="0"/>
          <w:numId w:val="4"/>
        </w:numPr>
      </w:pPr>
      <w:r>
        <w:t>SBHC</w:t>
      </w:r>
      <w:r>
        <w:t>s s</w:t>
      </w:r>
      <w:r>
        <w:t>erve all</w:t>
      </w:r>
      <w:r>
        <w:t xml:space="preserve"> students, regardless</w:t>
      </w:r>
      <w:r>
        <w:t xml:space="preserve"> of insurance type or ability to pay.</w:t>
      </w:r>
    </w:p>
    <w:p w14:paraId="6778470B" w14:textId="5BE1F271" w:rsidR="00806DC2" w:rsidRDefault="00806DC2" w:rsidP="00806DC2">
      <w:pPr>
        <w:pStyle w:val="ListParagraph"/>
        <w:numPr>
          <w:ilvl w:val="0"/>
          <w:numId w:val="4"/>
        </w:numPr>
      </w:pPr>
      <w:r>
        <w:t>Parents do not have to miss work to take their child to the doctor.</w:t>
      </w:r>
    </w:p>
    <w:p w14:paraId="0C4A563A" w14:textId="15366894" w:rsidR="00806DC2" w:rsidRDefault="00806DC2" w:rsidP="00806DC2">
      <w:pPr>
        <w:pStyle w:val="ListParagraph"/>
        <w:numPr>
          <w:ilvl w:val="0"/>
          <w:numId w:val="4"/>
        </w:numPr>
      </w:pPr>
      <w:r>
        <w:t>Transportation problems</w:t>
      </w:r>
      <w:r>
        <w:t xml:space="preserve"> </w:t>
      </w:r>
      <w:r>
        <w:t>in seeking health care are reduced.</w:t>
      </w:r>
    </w:p>
    <w:p w14:paraId="6356BD3F" w14:textId="2D0958D5" w:rsidR="008C5341" w:rsidRDefault="008C5341" w:rsidP="008C5341">
      <w:r w:rsidRPr="008C5341">
        <w:t>The Student Satisfaction Survey administered yearly at OSAH-sponsored SBHCs asks students about the class time missed using the SBHC versus other health care options. Sharing this kind of data with school administrators can help them understand how the SBHC is supporting student learning.</w:t>
      </w:r>
    </w:p>
    <w:p w14:paraId="288A79A5" w14:textId="5F5E8756" w:rsidR="00806DC2" w:rsidRDefault="008C5341" w:rsidP="00806DC2">
      <w:pPr>
        <w:rPr>
          <w:b/>
          <w:bCs/>
        </w:rPr>
      </w:pPr>
      <w:r>
        <w:rPr>
          <w:b/>
          <w:bCs/>
        </w:rPr>
        <w:t>School Calendar</w:t>
      </w:r>
    </w:p>
    <w:p w14:paraId="2A674818" w14:textId="11A8CB8F" w:rsidR="008C5341" w:rsidRDefault="008C5341" w:rsidP="00806DC2">
      <w:r>
        <w:t xml:space="preserve">SBHC coordination, promotion, engagement, outreach, and operations need to align with the </w:t>
      </w:r>
      <w:r w:rsidR="00523397">
        <w:t>school’s</w:t>
      </w:r>
      <w:r>
        <w:t xml:space="preserve"> calendar</w:t>
      </w:r>
      <w:r w:rsidR="00523397">
        <w:t xml:space="preserve"> and days and hours of operation. </w:t>
      </w:r>
      <w:r w:rsidR="00C107FF">
        <w:t>Understanding the school calendar</w:t>
      </w:r>
      <w:r w:rsidR="00803535">
        <w:t xml:space="preserve"> is vital </w:t>
      </w:r>
      <w:r w:rsidR="00C73CF7">
        <w:t>to</w:t>
      </w:r>
      <w:r w:rsidR="00C107FF">
        <w:t xml:space="preserve"> </w:t>
      </w:r>
      <w:r w:rsidR="00C73CF7">
        <w:t xml:space="preserve">effectively </w:t>
      </w:r>
      <w:r w:rsidR="00C107FF">
        <w:t xml:space="preserve">engaging </w:t>
      </w:r>
      <w:r w:rsidR="002504D6">
        <w:t xml:space="preserve">families and students, </w:t>
      </w:r>
      <w:r w:rsidR="00C107FF">
        <w:t xml:space="preserve">planning your outreach, and building your clinic workflow around a school year and school schedule. </w:t>
      </w:r>
    </w:p>
    <w:p w14:paraId="47860367" w14:textId="5F9A4A5C" w:rsidR="008C5341" w:rsidRDefault="00523397" w:rsidP="00806DC2">
      <w:pPr>
        <w:rPr>
          <w:b/>
          <w:bCs/>
        </w:rPr>
      </w:pPr>
      <w:r>
        <w:rPr>
          <w:b/>
          <w:bCs/>
        </w:rPr>
        <w:t>Focus Areas for Coordination</w:t>
      </w:r>
    </w:p>
    <w:p w14:paraId="3D239D9D" w14:textId="14C1C128" w:rsidR="00523397" w:rsidRPr="00523397" w:rsidRDefault="00523397" w:rsidP="00523397">
      <w:pPr>
        <w:pStyle w:val="ListParagraph"/>
        <w:numPr>
          <w:ilvl w:val="0"/>
          <w:numId w:val="5"/>
        </w:numPr>
        <w:rPr>
          <w:b/>
          <w:bCs/>
        </w:rPr>
      </w:pPr>
      <w:r>
        <w:t>School Health and Wellness Teams</w:t>
      </w:r>
    </w:p>
    <w:p w14:paraId="681BE496" w14:textId="369628A2" w:rsidR="00523397" w:rsidRPr="00C73CF7" w:rsidRDefault="00523397" w:rsidP="00C73CF7">
      <w:pPr>
        <w:ind w:left="720"/>
        <w:rPr>
          <w:b/>
          <w:bCs/>
        </w:rPr>
      </w:pPr>
      <w:r>
        <w:t>Get integrated into these teams as soon as possible to ensure policies on confidentiality are in place.</w:t>
      </w:r>
    </w:p>
    <w:p w14:paraId="39A1A0E6" w14:textId="7E67051C" w:rsidR="00523397" w:rsidRPr="00523397" w:rsidRDefault="00523397" w:rsidP="00523397">
      <w:pPr>
        <w:pStyle w:val="ListParagraph"/>
        <w:numPr>
          <w:ilvl w:val="0"/>
          <w:numId w:val="5"/>
        </w:numPr>
        <w:rPr>
          <w:b/>
          <w:bCs/>
        </w:rPr>
      </w:pPr>
      <w:r>
        <w:t>IEP and MSBS</w:t>
      </w:r>
    </w:p>
    <w:p w14:paraId="6B71F722" w14:textId="77777777" w:rsidR="00073D00" w:rsidRPr="00C73CF7" w:rsidRDefault="00073D00" w:rsidP="00C73CF7">
      <w:pPr>
        <w:ind w:left="720"/>
        <w:rPr>
          <w:b/>
          <w:bCs/>
        </w:rPr>
      </w:pPr>
      <w:r>
        <w:t xml:space="preserve">There are likely to be </w:t>
      </w:r>
      <w:r w:rsidR="00523397">
        <w:t xml:space="preserve">Medicaid School-Based Services (MSBS) provided for students with </w:t>
      </w:r>
      <w:r>
        <w:t>Individualized Education Plans (</w:t>
      </w:r>
      <w:r w:rsidR="00523397">
        <w:t>IEPs</w:t>
      </w:r>
      <w:r>
        <w:t xml:space="preserve">) and potentially other students as well. Make sure to coordinate with the school around this to avoid any confusion. </w:t>
      </w:r>
    </w:p>
    <w:p w14:paraId="354A16C5" w14:textId="77777777" w:rsidR="00073D00" w:rsidRPr="00073D00" w:rsidRDefault="00073D00" w:rsidP="00073D00">
      <w:pPr>
        <w:pStyle w:val="ListParagraph"/>
        <w:numPr>
          <w:ilvl w:val="0"/>
          <w:numId w:val="5"/>
        </w:numPr>
        <w:rPr>
          <w:b/>
          <w:bCs/>
        </w:rPr>
      </w:pPr>
      <w:r>
        <w:lastRenderedPageBreak/>
        <w:t>Services and Confidentiality</w:t>
      </w:r>
    </w:p>
    <w:p w14:paraId="513BFE6E" w14:textId="55452532" w:rsidR="00523397" w:rsidRPr="00C73CF7" w:rsidRDefault="00073D00" w:rsidP="00C73CF7">
      <w:pPr>
        <w:ind w:left="720"/>
        <w:rPr>
          <w:b/>
          <w:bCs/>
        </w:rPr>
      </w:pPr>
      <w:r>
        <w:t xml:space="preserve">SBHC medical sponsor needs to be aware of school board policies that may impact allowable services. Be familiar with FERPA and HIPAA joint guidance to understand where lines are drawn.  </w:t>
      </w:r>
    </w:p>
    <w:p w14:paraId="0BE41369" w14:textId="17D3AFE5" w:rsidR="00073D00" w:rsidRDefault="00DF446F" w:rsidP="00073D00">
      <w:pPr>
        <w:rPr>
          <w:b/>
          <w:bCs/>
        </w:rPr>
      </w:pPr>
      <w:r>
        <w:rPr>
          <w:b/>
          <w:bCs/>
        </w:rPr>
        <w:t>Key Relationships</w:t>
      </w:r>
      <w:r w:rsidR="00A3287F">
        <w:rPr>
          <w:b/>
          <w:bCs/>
        </w:rPr>
        <w:t xml:space="preserve"> to</w:t>
      </w:r>
      <w:r>
        <w:rPr>
          <w:b/>
          <w:bCs/>
        </w:rPr>
        <w:t xml:space="preserve"> Develop and Maintain</w:t>
      </w:r>
    </w:p>
    <w:p w14:paraId="6FA29BE5" w14:textId="58AD57D1" w:rsidR="00DF446F" w:rsidRPr="00A3287F" w:rsidRDefault="00DF446F" w:rsidP="00DF446F">
      <w:pPr>
        <w:pStyle w:val="ListParagraph"/>
        <w:numPr>
          <w:ilvl w:val="0"/>
          <w:numId w:val="6"/>
        </w:numPr>
        <w:rPr>
          <w:b/>
          <w:bCs/>
        </w:rPr>
      </w:pPr>
      <w:r>
        <w:t xml:space="preserve">School Principal </w:t>
      </w:r>
    </w:p>
    <w:p w14:paraId="0836BEE3" w14:textId="54ED7E92" w:rsidR="00A3287F" w:rsidRPr="003226D7" w:rsidRDefault="003226D7" w:rsidP="00C73CF7">
      <w:pPr>
        <w:ind w:left="720"/>
      </w:pPr>
      <w:r>
        <w:t>M</w:t>
      </w:r>
      <w:r w:rsidRPr="003226D7">
        <w:t>eet semi-annually to plan procedures and promotion (including inclusion on website and other official school communication platforms (</w:t>
      </w:r>
      <w:proofErr w:type="spellStart"/>
      <w:r w:rsidRPr="003226D7">
        <w:t>robo</w:t>
      </w:r>
      <w:proofErr w:type="spellEnd"/>
      <w:r w:rsidRPr="003226D7">
        <w:t xml:space="preserve">-calls, marquee, </w:t>
      </w:r>
      <w:proofErr w:type="spellStart"/>
      <w:r w:rsidR="00576B37">
        <w:t>PeachJar</w:t>
      </w:r>
      <w:proofErr w:type="spellEnd"/>
      <w:r w:rsidR="00576B37">
        <w:t xml:space="preserve">, </w:t>
      </w:r>
      <w:r w:rsidR="00C0202E">
        <w:t xml:space="preserve">email, </w:t>
      </w:r>
      <w:r w:rsidRPr="003226D7">
        <w:t xml:space="preserve">etc.); </w:t>
      </w:r>
      <w:r w:rsidR="00576B37">
        <w:t xml:space="preserve">coordinate any necessary meetings with </w:t>
      </w:r>
      <w:r w:rsidRPr="003226D7">
        <w:t>Superintendent and</w:t>
      </w:r>
      <w:r w:rsidR="00576B37">
        <w:t xml:space="preserve">/or </w:t>
      </w:r>
      <w:r w:rsidRPr="003226D7">
        <w:t xml:space="preserve">School Board </w:t>
      </w:r>
    </w:p>
    <w:p w14:paraId="0D0EDBAC" w14:textId="4906AC36" w:rsidR="00DF446F" w:rsidRPr="00C0202E" w:rsidRDefault="00DF446F" w:rsidP="00DF446F">
      <w:pPr>
        <w:pStyle w:val="ListParagraph"/>
        <w:numPr>
          <w:ilvl w:val="0"/>
          <w:numId w:val="6"/>
        </w:numPr>
        <w:rPr>
          <w:b/>
          <w:bCs/>
        </w:rPr>
      </w:pPr>
      <w:r>
        <w:t>School Nurse or Health Assistant</w:t>
      </w:r>
    </w:p>
    <w:p w14:paraId="2895FC3D" w14:textId="51A9DA58" w:rsidR="00D5318F" w:rsidRPr="00D5318F" w:rsidRDefault="00D5318F" w:rsidP="00C73CF7">
      <w:pPr>
        <w:ind w:left="720"/>
      </w:pPr>
      <w:r>
        <w:t>M</w:t>
      </w:r>
      <w:r w:rsidRPr="00D5318F">
        <w:t>eet regularly to plan triage and referral procedures</w:t>
      </w:r>
      <w:r w:rsidR="00046EB5">
        <w:t>. For sample procedure v</w:t>
      </w:r>
      <w:r w:rsidR="00C94B69">
        <w:t>isit…</w:t>
      </w:r>
    </w:p>
    <w:p w14:paraId="200975C7" w14:textId="56D11FC8" w:rsidR="00DF446F" w:rsidRPr="00C94B69" w:rsidRDefault="00DF446F" w:rsidP="00DF446F">
      <w:pPr>
        <w:pStyle w:val="ListParagraph"/>
        <w:numPr>
          <w:ilvl w:val="0"/>
          <w:numId w:val="6"/>
        </w:numPr>
        <w:rPr>
          <w:b/>
          <w:bCs/>
        </w:rPr>
      </w:pPr>
      <w:r>
        <w:t>School Social Worker and/or Counselors</w:t>
      </w:r>
    </w:p>
    <w:p w14:paraId="7DB509CE" w14:textId="588D11B4" w:rsidR="00C94B69" w:rsidRPr="00C73CF7" w:rsidRDefault="0047682C" w:rsidP="00C73CF7">
      <w:pPr>
        <w:ind w:left="720"/>
        <w:rPr>
          <w:b/>
          <w:bCs/>
        </w:rPr>
      </w:pPr>
      <w:r>
        <w:t>Meet regularly to plan referral, assessment, and other procedures</w:t>
      </w:r>
    </w:p>
    <w:p w14:paraId="2FBD2A67" w14:textId="6DD06829" w:rsidR="00DF446F" w:rsidRPr="00C95048" w:rsidRDefault="00DF446F" w:rsidP="00DF446F">
      <w:pPr>
        <w:pStyle w:val="ListParagraph"/>
        <w:numPr>
          <w:ilvl w:val="0"/>
          <w:numId w:val="6"/>
        </w:numPr>
        <w:rPr>
          <w:b/>
          <w:bCs/>
        </w:rPr>
      </w:pPr>
      <w:r>
        <w:t>School Secretary</w:t>
      </w:r>
    </w:p>
    <w:p w14:paraId="744BDCA7" w14:textId="29A7B28E" w:rsidR="00C95048" w:rsidRDefault="00C95048" w:rsidP="00C73CF7">
      <w:pPr>
        <w:ind w:left="720"/>
      </w:pPr>
      <w:r>
        <w:t>They are usually gatekeepers at the school and are a key partner to engage with regularly. M</w:t>
      </w:r>
      <w:r w:rsidRPr="00C95048">
        <w:t>eet prior to student return in August to review student “travel” procedures and share promotional tools</w:t>
      </w:r>
      <w:r>
        <w:t xml:space="preserve">. </w:t>
      </w:r>
    </w:p>
    <w:p w14:paraId="656D5A25" w14:textId="5A3850B4" w:rsidR="00D8015C" w:rsidRPr="00D8015C" w:rsidRDefault="00316FEA" w:rsidP="00D8015C">
      <w:pPr>
        <w:rPr>
          <w:b/>
          <w:bCs/>
        </w:rPr>
      </w:pPr>
      <w:r>
        <w:rPr>
          <w:b/>
          <w:bCs/>
        </w:rPr>
        <w:t>Opportunities for Staff Engagement</w:t>
      </w:r>
    </w:p>
    <w:p w14:paraId="228BE04D" w14:textId="77777777" w:rsidR="00D8015C" w:rsidRDefault="00D8015C" w:rsidP="003B5A68">
      <w:pPr>
        <w:pStyle w:val="ListParagraph"/>
        <w:numPr>
          <w:ilvl w:val="0"/>
          <w:numId w:val="8"/>
        </w:numPr>
      </w:pPr>
      <w:r w:rsidRPr="00D8015C">
        <w:t>Teachers</w:t>
      </w:r>
    </w:p>
    <w:p w14:paraId="4FD89EEB" w14:textId="4BE3ADE8" w:rsidR="00B25688" w:rsidRDefault="00D8015C" w:rsidP="00C73CF7">
      <w:pPr>
        <w:ind w:left="720"/>
      </w:pPr>
      <w:r>
        <w:t xml:space="preserve">Ask </w:t>
      </w:r>
      <w:r w:rsidR="00B25688">
        <w:t xml:space="preserve">the </w:t>
      </w:r>
      <w:r>
        <w:t>P</w:t>
      </w:r>
      <w:r w:rsidRPr="00D8015C">
        <w:t xml:space="preserve">rincipal to include </w:t>
      </w:r>
      <w:r w:rsidR="00B25688">
        <w:t>the S</w:t>
      </w:r>
      <w:r w:rsidRPr="00D8015C">
        <w:t>BHC in summer professional development/in-service days to educate all teachers about referrals, “travel” procedures, and other opportunities</w:t>
      </w:r>
    </w:p>
    <w:p w14:paraId="70CEDA2F" w14:textId="77777777" w:rsidR="00CC729A" w:rsidRDefault="00D8015C" w:rsidP="00CC729A">
      <w:pPr>
        <w:pStyle w:val="ListParagraph"/>
        <w:numPr>
          <w:ilvl w:val="0"/>
          <w:numId w:val="8"/>
        </w:numPr>
      </w:pPr>
      <w:r w:rsidRPr="00D8015C">
        <w:t>Health Teachers</w:t>
      </w:r>
    </w:p>
    <w:p w14:paraId="41D5BD8D" w14:textId="77777777" w:rsidR="00893ECD" w:rsidRDefault="00CC729A" w:rsidP="00C73CF7">
      <w:pPr>
        <w:ind w:left="720"/>
      </w:pPr>
      <w:r>
        <w:t xml:space="preserve">Meet before school begins to </w:t>
      </w:r>
      <w:r w:rsidR="00893ECD">
        <w:t xml:space="preserve">plan semester class presentations, tours. Etc. </w:t>
      </w:r>
      <w:r>
        <w:t>Communicate</w:t>
      </w:r>
      <w:r w:rsidR="00D8015C" w:rsidRPr="00D8015C">
        <w:t xml:space="preserve"> regularly </w:t>
      </w:r>
      <w:r w:rsidR="00893ECD">
        <w:t>about any health education needs they may have</w:t>
      </w:r>
    </w:p>
    <w:p w14:paraId="62EEE598" w14:textId="77777777" w:rsidR="007650B9" w:rsidRDefault="00D8015C" w:rsidP="00893ECD">
      <w:pPr>
        <w:pStyle w:val="ListParagraph"/>
        <w:numPr>
          <w:ilvl w:val="0"/>
          <w:numId w:val="8"/>
        </w:numPr>
      </w:pPr>
      <w:r w:rsidRPr="00D8015C">
        <w:t>Science Teachers</w:t>
      </w:r>
      <w:r w:rsidR="007650B9">
        <w:t xml:space="preserve">/English teachers </w:t>
      </w:r>
    </w:p>
    <w:p w14:paraId="4D06CC06" w14:textId="1AA35D7C" w:rsidR="00D8015C" w:rsidRPr="00D8015C" w:rsidRDefault="007650B9" w:rsidP="00C73CF7">
      <w:pPr>
        <w:ind w:left="720"/>
      </w:pPr>
      <w:r>
        <w:t>Meet before schools begins to plan class presentations</w:t>
      </w:r>
      <w:r w:rsidR="004B2F23">
        <w:t xml:space="preserve">. These can be very brief SBHC promotion presentations </w:t>
      </w:r>
      <w:proofErr w:type="gramStart"/>
      <w:r w:rsidR="004B2F23">
        <w:t>so as to</w:t>
      </w:r>
      <w:proofErr w:type="gramEnd"/>
      <w:r w:rsidR="004B2F23">
        <w:t xml:space="preserve"> not use up too much class time. </w:t>
      </w:r>
    </w:p>
    <w:p w14:paraId="1A938F71" w14:textId="58A24761" w:rsidR="004B2F23" w:rsidRDefault="00D8015C" w:rsidP="004B2F23">
      <w:pPr>
        <w:pStyle w:val="ListParagraph"/>
        <w:numPr>
          <w:ilvl w:val="0"/>
          <w:numId w:val="8"/>
        </w:numPr>
      </w:pPr>
      <w:r w:rsidRPr="00D8015C">
        <w:t xml:space="preserve">Coaches </w:t>
      </w:r>
      <w:r w:rsidR="004B2F23">
        <w:t>and Athletic Director</w:t>
      </w:r>
    </w:p>
    <w:p w14:paraId="2AD230C2" w14:textId="5C78B588" w:rsidR="00D8015C" w:rsidRPr="00D8015C" w:rsidRDefault="004B2F23" w:rsidP="00C73CF7">
      <w:pPr>
        <w:ind w:left="720"/>
      </w:pPr>
      <w:r>
        <w:t>M</w:t>
      </w:r>
      <w:r w:rsidR="00D8015C" w:rsidRPr="00D8015C">
        <w:t>eet at least annually to plan sports physicals/EPSDT and other collaborative opportunities</w:t>
      </w:r>
    </w:p>
    <w:p w14:paraId="65E8DAD9" w14:textId="77777777" w:rsidR="004B2F23" w:rsidRDefault="00D8015C" w:rsidP="004B2F23">
      <w:pPr>
        <w:pStyle w:val="ListParagraph"/>
        <w:numPr>
          <w:ilvl w:val="0"/>
          <w:numId w:val="8"/>
        </w:numPr>
      </w:pPr>
      <w:r w:rsidRPr="00D8015C">
        <w:t>Community School Coordinators</w:t>
      </w:r>
    </w:p>
    <w:p w14:paraId="253FD75D" w14:textId="0AD52C23" w:rsidR="00316FEA" w:rsidRDefault="004B2F23" w:rsidP="00C73CF7">
      <w:pPr>
        <w:ind w:left="720"/>
      </w:pPr>
      <w:r>
        <w:t>M</w:t>
      </w:r>
      <w:r w:rsidR="00D8015C" w:rsidRPr="00D8015C">
        <w:t xml:space="preserve">eet regularly to partner on referrals, family outreach, </w:t>
      </w:r>
      <w:r w:rsidR="00F64B15">
        <w:t xml:space="preserve">etc. Attend community school events to engage with families and parents and promote SBHC services. </w:t>
      </w:r>
    </w:p>
    <w:p w14:paraId="7FD0DE5E" w14:textId="1A635EC0" w:rsidR="002426E4" w:rsidRPr="002426E4" w:rsidRDefault="002426E4" w:rsidP="00A5246C">
      <w:pPr>
        <w:rPr>
          <w:b/>
          <w:bCs/>
        </w:rPr>
      </w:pPr>
      <w:r>
        <w:rPr>
          <w:b/>
          <w:bCs/>
        </w:rPr>
        <w:t>MOUs/MOAs</w:t>
      </w:r>
    </w:p>
    <w:p w14:paraId="60729ABF" w14:textId="366414CF" w:rsidR="00A5246C" w:rsidRPr="00D8015C" w:rsidRDefault="00AE5AE9" w:rsidP="00A5246C">
      <w:r>
        <w:t>T</w:t>
      </w:r>
      <w:r w:rsidR="00A5246C" w:rsidRPr="00A5246C">
        <w:t>he SBHC will be more successful if</w:t>
      </w:r>
      <w:r>
        <w:t xml:space="preserve"> the s</w:t>
      </w:r>
      <w:r>
        <w:t xml:space="preserve">chool and medical sponsor </w:t>
      </w:r>
      <w:r w:rsidR="00A5246C" w:rsidRPr="00A5246C">
        <w:t xml:space="preserve">formalize their </w:t>
      </w:r>
      <w:r>
        <w:t>partnership</w:t>
      </w:r>
      <w:r w:rsidR="00A5246C" w:rsidRPr="00A5246C">
        <w:t xml:space="preserve"> through official mechanisms. These can include common strategic plans with shared vision, </w:t>
      </w:r>
      <w:proofErr w:type="gramStart"/>
      <w:r w:rsidR="00A5246C" w:rsidRPr="00A5246C">
        <w:t>mission</w:t>
      </w:r>
      <w:proofErr w:type="gramEnd"/>
      <w:r w:rsidR="00A5246C" w:rsidRPr="00A5246C">
        <w:t xml:space="preserve"> and outcome measure as well as contracts and/or Memorandums of Understanding/Memorandums of Agreement (MOUs/MOAs). These documents </w:t>
      </w:r>
      <w:r w:rsidR="00A5246C" w:rsidRPr="00A5246C">
        <w:lastRenderedPageBreak/>
        <w:t>clarify roles and responsibilities for each partner, identify roles and responsibilities and increase accountability among all partners.</w:t>
      </w:r>
    </w:p>
    <w:sectPr w:rsidR="00A5246C" w:rsidRPr="00D8015C" w:rsidSect="002426E4">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510"/>
    <w:multiLevelType w:val="hybridMultilevel"/>
    <w:tmpl w:val="7916E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75932"/>
    <w:multiLevelType w:val="hybridMultilevel"/>
    <w:tmpl w:val="5B30A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31B17"/>
    <w:multiLevelType w:val="hybridMultilevel"/>
    <w:tmpl w:val="DF708416"/>
    <w:lvl w:ilvl="0" w:tplc="DE7CF6A4">
      <w:start w:val="1"/>
      <w:numFmt w:val="bullet"/>
      <w:lvlText w:val="•"/>
      <w:lvlJc w:val="left"/>
      <w:pPr>
        <w:tabs>
          <w:tab w:val="num" w:pos="720"/>
        </w:tabs>
        <w:ind w:left="720" w:hanging="360"/>
      </w:pPr>
      <w:rPr>
        <w:rFonts w:ascii="Arial" w:hAnsi="Arial" w:hint="default"/>
      </w:rPr>
    </w:lvl>
    <w:lvl w:ilvl="1" w:tplc="900A6A24" w:tentative="1">
      <w:start w:val="1"/>
      <w:numFmt w:val="bullet"/>
      <w:lvlText w:val="•"/>
      <w:lvlJc w:val="left"/>
      <w:pPr>
        <w:tabs>
          <w:tab w:val="num" w:pos="1440"/>
        </w:tabs>
        <w:ind w:left="1440" w:hanging="360"/>
      </w:pPr>
      <w:rPr>
        <w:rFonts w:ascii="Arial" w:hAnsi="Arial" w:hint="default"/>
      </w:rPr>
    </w:lvl>
    <w:lvl w:ilvl="2" w:tplc="443AD424" w:tentative="1">
      <w:start w:val="1"/>
      <w:numFmt w:val="bullet"/>
      <w:lvlText w:val="•"/>
      <w:lvlJc w:val="left"/>
      <w:pPr>
        <w:tabs>
          <w:tab w:val="num" w:pos="2160"/>
        </w:tabs>
        <w:ind w:left="2160" w:hanging="360"/>
      </w:pPr>
      <w:rPr>
        <w:rFonts w:ascii="Arial" w:hAnsi="Arial" w:hint="default"/>
      </w:rPr>
    </w:lvl>
    <w:lvl w:ilvl="3" w:tplc="E6A607EC" w:tentative="1">
      <w:start w:val="1"/>
      <w:numFmt w:val="bullet"/>
      <w:lvlText w:val="•"/>
      <w:lvlJc w:val="left"/>
      <w:pPr>
        <w:tabs>
          <w:tab w:val="num" w:pos="2880"/>
        </w:tabs>
        <w:ind w:left="2880" w:hanging="360"/>
      </w:pPr>
      <w:rPr>
        <w:rFonts w:ascii="Arial" w:hAnsi="Arial" w:hint="default"/>
      </w:rPr>
    </w:lvl>
    <w:lvl w:ilvl="4" w:tplc="5F965470" w:tentative="1">
      <w:start w:val="1"/>
      <w:numFmt w:val="bullet"/>
      <w:lvlText w:val="•"/>
      <w:lvlJc w:val="left"/>
      <w:pPr>
        <w:tabs>
          <w:tab w:val="num" w:pos="3600"/>
        </w:tabs>
        <w:ind w:left="3600" w:hanging="360"/>
      </w:pPr>
      <w:rPr>
        <w:rFonts w:ascii="Arial" w:hAnsi="Arial" w:hint="default"/>
      </w:rPr>
    </w:lvl>
    <w:lvl w:ilvl="5" w:tplc="E86AC980" w:tentative="1">
      <w:start w:val="1"/>
      <w:numFmt w:val="bullet"/>
      <w:lvlText w:val="•"/>
      <w:lvlJc w:val="left"/>
      <w:pPr>
        <w:tabs>
          <w:tab w:val="num" w:pos="4320"/>
        </w:tabs>
        <w:ind w:left="4320" w:hanging="360"/>
      </w:pPr>
      <w:rPr>
        <w:rFonts w:ascii="Arial" w:hAnsi="Arial" w:hint="default"/>
      </w:rPr>
    </w:lvl>
    <w:lvl w:ilvl="6" w:tplc="F0520F56" w:tentative="1">
      <w:start w:val="1"/>
      <w:numFmt w:val="bullet"/>
      <w:lvlText w:val="•"/>
      <w:lvlJc w:val="left"/>
      <w:pPr>
        <w:tabs>
          <w:tab w:val="num" w:pos="5040"/>
        </w:tabs>
        <w:ind w:left="5040" w:hanging="360"/>
      </w:pPr>
      <w:rPr>
        <w:rFonts w:ascii="Arial" w:hAnsi="Arial" w:hint="default"/>
      </w:rPr>
    </w:lvl>
    <w:lvl w:ilvl="7" w:tplc="AB380AB2" w:tentative="1">
      <w:start w:val="1"/>
      <w:numFmt w:val="bullet"/>
      <w:lvlText w:val="•"/>
      <w:lvlJc w:val="left"/>
      <w:pPr>
        <w:tabs>
          <w:tab w:val="num" w:pos="5760"/>
        </w:tabs>
        <w:ind w:left="5760" w:hanging="360"/>
      </w:pPr>
      <w:rPr>
        <w:rFonts w:ascii="Arial" w:hAnsi="Arial" w:hint="default"/>
      </w:rPr>
    </w:lvl>
    <w:lvl w:ilvl="8" w:tplc="9064D8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2A61B3"/>
    <w:multiLevelType w:val="hybridMultilevel"/>
    <w:tmpl w:val="A99A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A434A"/>
    <w:multiLevelType w:val="hybridMultilevel"/>
    <w:tmpl w:val="404C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F31C1"/>
    <w:multiLevelType w:val="hybridMultilevel"/>
    <w:tmpl w:val="FEFA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F6A96"/>
    <w:multiLevelType w:val="hybridMultilevel"/>
    <w:tmpl w:val="8566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51367"/>
    <w:multiLevelType w:val="hybridMultilevel"/>
    <w:tmpl w:val="CE62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372724">
    <w:abstractNumId w:val="4"/>
  </w:num>
  <w:num w:numId="2" w16cid:durableId="1434059047">
    <w:abstractNumId w:val="6"/>
  </w:num>
  <w:num w:numId="3" w16cid:durableId="445391768">
    <w:abstractNumId w:val="5"/>
  </w:num>
  <w:num w:numId="4" w16cid:durableId="564268303">
    <w:abstractNumId w:val="3"/>
  </w:num>
  <w:num w:numId="5" w16cid:durableId="1019310250">
    <w:abstractNumId w:val="0"/>
  </w:num>
  <w:num w:numId="6" w16cid:durableId="1320959877">
    <w:abstractNumId w:val="1"/>
  </w:num>
  <w:num w:numId="7" w16cid:durableId="611058404">
    <w:abstractNumId w:val="2"/>
  </w:num>
  <w:num w:numId="8" w16cid:durableId="163597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6A"/>
    <w:rsid w:val="00046EB5"/>
    <w:rsid w:val="00073D00"/>
    <w:rsid w:val="001D48BE"/>
    <w:rsid w:val="002426E4"/>
    <w:rsid w:val="002504D6"/>
    <w:rsid w:val="00316FEA"/>
    <w:rsid w:val="003226D7"/>
    <w:rsid w:val="0047682C"/>
    <w:rsid w:val="004A0F0E"/>
    <w:rsid w:val="004B0FB8"/>
    <w:rsid w:val="004B2F23"/>
    <w:rsid w:val="00523397"/>
    <w:rsid w:val="00576B37"/>
    <w:rsid w:val="007650B9"/>
    <w:rsid w:val="0076753F"/>
    <w:rsid w:val="00803535"/>
    <w:rsid w:val="00806DC2"/>
    <w:rsid w:val="00893ECD"/>
    <w:rsid w:val="008C5341"/>
    <w:rsid w:val="00965C3E"/>
    <w:rsid w:val="00A3287F"/>
    <w:rsid w:val="00A5246C"/>
    <w:rsid w:val="00AE5AE9"/>
    <w:rsid w:val="00B25688"/>
    <w:rsid w:val="00C0202E"/>
    <w:rsid w:val="00C107FF"/>
    <w:rsid w:val="00C73CF7"/>
    <w:rsid w:val="00C94B69"/>
    <w:rsid w:val="00C95048"/>
    <w:rsid w:val="00CC729A"/>
    <w:rsid w:val="00D5318F"/>
    <w:rsid w:val="00D8015C"/>
    <w:rsid w:val="00DF446F"/>
    <w:rsid w:val="00E03089"/>
    <w:rsid w:val="00E3286A"/>
    <w:rsid w:val="00F6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A167"/>
  <w15:chartTrackingRefBased/>
  <w15:docId w15:val="{A909F3B0-503C-46E6-A319-4D6C78E8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721948">
      <w:bodyDiv w:val="1"/>
      <w:marLeft w:val="0"/>
      <w:marRight w:val="0"/>
      <w:marTop w:val="0"/>
      <w:marBottom w:val="0"/>
      <w:divBdr>
        <w:top w:val="none" w:sz="0" w:space="0" w:color="auto"/>
        <w:left w:val="none" w:sz="0" w:space="0" w:color="auto"/>
        <w:bottom w:val="none" w:sz="0" w:space="0" w:color="auto"/>
        <w:right w:val="none" w:sz="0" w:space="0" w:color="auto"/>
      </w:divBdr>
      <w:divsChild>
        <w:div w:id="1460419443">
          <w:marLeft w:val="446"/>
          <w:marRight w:val="0"/>
          <w:marTop w:val="0"/>
          <w:marBottom w:val="0"/>
          <w:divBdr>
            <w:top w:val="none" w:sz="0" w:space="0" w:color="auto"/>
            <w:left w:val="none" w:sz="0" w:space="0" w:color="auto"/>
            <w:bottom w:val="none" w:sz="0" w:space="0" w:color="auto"/>
            <w:right w:val="none" w:sz="0" w:space="0" w:color="auto"/>
          </w:divBdr>
        </w:div>
      </w:divsChild>
    </w:div>
    <w:div w:id="1513185554">
      <w:bodyDiv w:val="1"/>
      <w:marLeft w:val="0"/>
      <w:marRight w:val="0"/>
      <w:marTop w:val="0"/>
      <w:marBottom w:val="0"/>
      <w:divBdr>
        <w:top w:val="none" w:sz="0" w:space="0" w:color="auto"/>
        <w:left w:val="none" w:sz="0" w:space="0" w:color="auto"/>
        <w:bottom w:val="none" w:sz="0" w:space="0" w:color="auto"/>
        <w:right w:val="none" w:sz="0" w:space="0" w:color="auto"/>
      </w:divBdr>
      <w:divsChild>
        <w:div w:id="80686449">
          <w:marLeft w:val="446"/>
          <w:marRight w:val="0"/>
          <w:marTop w:val="0"/>
          <w:marBottom w:val="0"/>
          <w:divBdr>
            <w:top w:val="none" w:sz="0" w:space="0" w:color="auto"/>
            <w:left w:val="none" w:sz="0" w:space="0" w:color="auto"/>
            <w:bottom w:val="none" w:sz="0" w:space="0" w:color="auto"/>
            <w:right w:val="none" w:sz="0" w:space="0" w:color="auto"/>
          </w:divBdr>
        </w:div>
      </w:divsChild>
    </w:div>
    <w:div w:id="1541892459">
      <w:bodyDiv w:val="1"/>
      <w:marLeft w:val="0"/>
      <w:marRight w:val="0"/>
      <w:marTop w:val="0"/>
      <w:marBottom w:val="0"/>
      <w:divBdr>
        <w:top w:val="none" w:sz="0" w:space="0" w:color="auto"/>
        <w:left w:val="none" w:sz="0" w:space="0" w:color="auto"/>
        <w:bottom w:val="none" w:sz="0" w:space="0" w:color="auto"/>
        <w:right w:val="none" w:sz="0" w:space="0" w:color="auto"/>
      </w:divBdr>
      <w:divsChild>
        <w:div w:id="21207537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sabo</dc:creator>
  <cp:keywords/>
  <dc:description/>
  <cp:lastModifiedBy>michael sabo</cp:lastModifiedBy>
  <cp:revision>27</cp:revision>
  <dcterms:created xsi:type="dcterms:W3CDTF">2022-09-01T03:49:00Z</dcterms:created>
  <dcterms:modified xsi:type="dcterms:W3CDTF">2022-09-01T05:02:00Z</dcterms:modified>
</cp:coreProperties>
</file>